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D8" w:rsidRPr="00FF3062" w:rsidRDefault="00B075D8" w:rsidP="00B075D8">
      <w:pPr>
        <w:ind w:left="-851" w:right="-897"/>
        <w:jc w:val="center"/>
        <w:rPr>
          <w:rFonts w:cs="Times New Roman"/>
          <w:b/>
          <w:color w:val="000000" w:themeColor="text1"/>
          <w:sz w:val="36"/>
          <w:szCs w:val="36"/>
        </w:rPr>
      </w:pPr>
      <w:r w:rsidRPr="00FF3062">
        <w:rPr>
          <w:rFonts w:cs="Times New Roman"/>
          <w:b/>
          <w:color w:val="000000" w:themeColor="text1"/>
          <w:sz w:val="36"/>
          <w:szCs w:val="36"/>
        </w:rPr>
        <w:t>MOUNT ORIEL MEDICAL PRACTICE</w:t>
      </w:r>
    </w:p>
    <w:p w:rsidR="00B075D8" w:rsidRPr="00B075D8" w:rsidRDefault="00B075D8" w:rsidP="00B075D8">
      <w:pPr>
        <w:ind w:left="-851" w:right="-897"/>
        <w:rPr>
          <w:rFonts w:cs="Times New Roman"/>
          <w:b/>
          <w:color w:val="000000" w:themeColor="text1"/>
          <w:sz w:val="36"/>
          <w:szCs w:val="36"/>
        </w:rPr>
      </w:pPr>
      <w:r w:rsidRPr="00FF3062">
        <w:rPr>
          <w:rFonts w:cs="Times New Roman"/>
          <w:b/>
          <w:color w:val="000000" w:themeColor="text1"/>
          <w:sz w:val="36"/>
          <w:szCs w:val="36"/>
        </w:rPr>
        <w:t xml:space="preserve">Privacy Notice – </w:t>
      </w:r>
      <w:r>
        <w:rPr>
          <w:rFonts w:cs="Times New Roman"/>
          <w:b/>
          <w:color w:val="000000" w:themeColor="text1"/>
          <w:sz w:val="36"/>
          <w:szCs w:val="36"/>
        </w:rPr>
        <w:t>GP as an Employer</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1"/>
        <w:gridCol w:w="6989"/>
      </w:tblGrid>
      <w:tr w:rsidR="00B075D8" w:rsidRPr="00B7041D" w:rsidTr="00B075D8">
        <w:trPr>
          <w:trHeight w:val="300"/>
        </w:trPr>
        <w:tc>
          <w:tcPr>
            <w:tcW w:w="10490" w:type="dxa"/>
            <w:gridSpan w:val="2"/>
            <w:noWrap/>
          </w:tcPr>
          <w:p w:rsidR="00B075D8" w:rsidRPr="00B075D8" w:rsidRDefault="00B075D8" w:rsidP="00B075D8">
            <w:pPr>
              <w:jc w:val="both"/>
              <w:rPr>
                <w:sz w:val="24"/>
                <w:szCs w:val="24"/>
              </w:rPr>
            </w:pPr>
            <w:r w:rsidRPr="00B075D8">
              <w:rPr>
                <w:sz w:val="24"/>
                <w:szCs w:val="24"/>
              </w:rPr>
              <w:t>As employers we need to keep certain information so that we can remain your employer and manage payments. This is a combination of personal and financial information. We are required by law to hold certain types of data on those we employ under the Health and Social Care Act.</w:t>
            </w:r>
          </w:p>
          <w:p w:rsidR="00B075D8" w:rsidRPr="00B075D8" w:rsidRDefault="00B075D8" w:rsidP="00B075D8">
            <w:pPr>
              <w:jc w:val="both"/>
              <w:rPr>
                <w:sz w:val="24"/>
                <w:szCs w:val="24"/>
              </w:rPr>
            </w:pPr>
            <w:r w:rsidRPr="00B075D8">
              <w:rPr>
                <w:sz w:val="24"/>
                <w:szCs w:val="24"/>
              </w:rPr>
              <w:t xml:space="preserve">We are also required by HMRC and various taxation laws, such as “The Income Tax (Pay As You Earn) Regulations 2003” to keep financial records. </w:t>
            </w:r>
          </w:p>
        </w:tc>
      </w:tr>
      <w:tr w:rsidR="00B075D8" w:rsidRPr="00B075D8" w:rsidTr="00B075D8">
        <w:trPr>
          <w:trHeight w:val="815"/>
        </w:trPr>
        <w:tc>
          <w:tcPr>
            <w:tcW w:w="3501" w:type="dxa"/>
            <w:noWrap/>
          </w:tcPr>
          <w:p w:rsidR="00B075D8" w:rsidRPr="00B075D8" w:rsidRDefault="00B075D8" w:rsidP="00A86FF4">
            <w:pPr>
              <w:spacing w:after="0" w:line="240" w:lineRule="auto"/>
              <w:rPr>
                <w:b/>
                <w:color w:val="000000"/>
                <w:sz w:val="24"/>
                <w:szCs w:val="24"/>
                <w:lang w:eastAsia="en-GB"/>
              </w:rPr>
            </w:pPr>
            <w:r w:rsidRPr="00B075D8">
              <w:rPr>
                <w:color w:val="000000"/>
                <w:sz w:val="24"/>
                <w:szCs w:val="24"/>
                <w:lang w:eastAsia="en-GB"/>
              </w:rPr>
              <w:t>1</w:t>
            </w:r>
            <w:r w:rsidRPr="00B075D8">
              <w:rPr>
                <w:b/>
                <w:color w:val="000000"/>
                <w:sz w:val="24"/>
                <w:szCs w:val="24"/>
                <w:lang w:eastAsia="en-GB"/>
              </w:rPr>
              <w:t xml:space="preserve">) Data Controller </w:t>
            </w:r>
            <w:r w:rsidRPr="00B075D8">
              <w:rPr>
                <w:color w:val="000000"/>
                <w:sz w:val="24"/>
                <w:szCs w:val="24"/>
                <w:lang w:eastAsia="en-GB"/>
              </w:rPr>
              <w:t>contact details</w:t>
            </w:r>
          </w:p>
          <w:p w:rsidR="00B075D8" w:rsidRPr="00B075D8" w:rsidRDefault="00B075D8" w:rsidP="00A86FF4">
            <w:pPr>
              <w:spacing w:after="0" w:line="240" w:lineRule="auto"/>
              <w:rPr>
                <w:color w:val="000000"/>
                <w:sz w:val="24"/>
                <w:szCs w:val="24"/>
                <w:lang w:eastAsia="en-GB"/>
              </w:rPr>
            </w:pPr>
          </w:p>
          <w:p w:rsidR="00B075D8" w:rsidRPr="00B075D8" w:rsidRDefault="00B075D8" w:rsidP="00A86FF4">
            <w:pPr>
              <w:spacing w:after="0" w:line="240" w:lineRule="auto"/>
              <w:rPr>
                <w:color w:val="000000"/>
                <w:sz w:val="24"/>
                <w:szCs w:val="24"/>
                <w:lang w:eastAsia="en-GB"/>
              </w:rPr>
            </w:pPr>
          </w:p>
        </w:tc>
        <w:tc>
          <w:tcPr>
            <w:tcW w:w="6989" w:type="dxa"/>
            <w:noWrap/>
          </w:tcPr>
          <w:p w:rsidR="00B075D8" w:rsidRPr="00FF3062" w:rsidRDefault="00B075D8" w:rsidP="00B075D8">
            <w:pPr>
              <w:tabs>
                <w:tab w:val="left" w:pos="684"/>
              </w:tabs>
              <w:spacing w:after="0" w:line="240" w:lineRule="auto"/>
              <w:ind w:right="-897"/>
              <w:rPr>
                <w:sz w:val="24"/>
                <w:szCs w:val="24"/>
                <w:lang w:eastAsia="en-GB"/>
              </w:rPr>
            </w:pPr>
            <w:r w:rsidRPr="00FF3062">
              <w:rPr>
                <w:sz w:val="24"/>
                <w:szCs w:val="24"/>
                <w:lang w:eastAsia="en-GB"/>
              </w:rPr>
              <w:t>Mrs Roberta Walsh, Practice Manager, Mount Oriel Medical Practice, Knockbreda Centre,  110 Saintfield Road, Belfast BT8 6GR Tel: 028 9070 1653</w:t>
            </w:r>
          </w:p>
          <w:p w:rsidR="00B075D8" w:rsidRPr="00B075D8" w:rsidRDefault="00B075D8" w:rsidP="00B075D8">
            <w:pPr>
              <w:spacing w:after="0" w:line="240" w:lineRule="auto"/>
              <w:rPr>
                <w:color w:val="000000"/>
                <w:sz w:val="24"/>
                <w:szCs w:val="24"/>
                <w:lang w:eastAsia="en-GB"/>
              </w:rPr>
            </w:pPr>
            <w:r w:rsidRPr="00B075D8">
              <w:rPr>
                <w:color w:val="000000"/>
                <w:sz w:val="24"/>
                <w:szCs w:val="24"/>
                <w:lang w:eastAsia="en-GB"/>
              </w:rPr>
              <w:t xml:space="preserve"> </w:t>
            </w: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b/>
                <w:color w:val="000000"/>
                <w:sz w:val="24"/>
                <w:szCs w:val="24"/>
                <w:lang w:eastAsia="en-GB"/>
              </w:rPr>
              <w:t xml:space="preserve">2) Data Protection Officer </w:t>
            </w:r>
            <w:r w:rsidRPr="00B075D8">
              <w:rPr>
                <w:color w:val="000000"/>
                <w:sz w:val="24"/>
                <w:szCs w:val="24"/>
                <w:lang w:eastAsia="en-GB"/>
              </w:rPr>
              <w:t>contact details</w:t>
            </w:r>
          </w:p>
        </w:tc>
        <w:tc>
          <w:tcPr>
            <w:tcW w:w="6989" w:type="dxa"/>
            <w:noWrap/>
          </w:tcPr>
          <w:p w:rsidR="00B075D8" w:rsidRPr="00FF3062" w:rsidRDefault="00B075D8" w:rsidP="00B075D8">
            <w:pPr>
              <w:tabs>
                <w:tab w:val="left" w:pos="684"/>
              </w:tabs>
              <w:spacing w:after="0" w:line="240" w:lineRule="auto"/>
              <w:ind w:right="-897"/>
              <w:rPr>
                <w:sz w:val="24"/>
                <w:szCs w:val="24"/>
                <w:lang w:eastAsia="en-GB"/>
              </w:rPr>
            </w:pPr>
            <w:r w:rsidRPr="00FF3062">
              <w:rPr>
                <w:sz w:val="24"/>
                <w:szCs w:val="24"/>
                <w:lang w:eastAsia="en-GB"/>
              </w:rPr>
              <w:t>Dr Sean Devine, Mount Oriel Medical Practice, Knockbreda Centre,  110 Saintfield Road, Belfast BT8 6GR Tel: 028 9070 1653</w:t>
            </w:r>
          </w:p>
          <w:p w:rsidR="00B075D8" w:rsidRPr="00B075D8" w:rsidRDefault="00B075D8" w:rsidP="00A86FF4">
            <w:pPr>
              <w:spacing w:after="0" w:line="240" w:lineRule="auto"/>
              <w:rPr>
                <w:color w:val="339966"/>
                <w:sz w:val="24"/>
                <w:szCs w:val="24"/>
                <w:lang w:eastAsia="en-GB"/>
              </w:rPr>
            </w:pPr>
          </w:p>
        </w:tc>
      </w:tr>
      <w:tr w:rsidR="00B075D8" w:rsidRPr="00B075D8" w:rsidTr="00B075D8">
        <w:trPr>
          <w:trHeight w:val="564"/>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3) </w:t>
            </w:r>
            <w:r w:rsidRPr="00B075D8">
              <w:rPr>
                <w:b/>
                <w:color w:val="000000"/>
                <w:sz w:val="24"/>
                <w:szCs w:val="24"/>
                <w:lang w:eastAsia="en-GB"/>
              </w:rPr>
              <w:t>Purpose</w:t>
            </w:r>
            <w:r w:rsidRPr="00B075D8">
              <w:rPr>
                <w:color w:val="000000"/>
                <w:sz w:val="24"/>
                <w:szCs w:val="24"/>
                <w:lang w:eastAsia="en-GB"/>
              </w:rPr>
              <w:t xml:space="preserve"> of the processing</w:t>
            </w:r>
          </w:p>
        </w:tc>
        <w:tc>
          <w:tcPr>
            <w:tcW w:w="6989" w:type="dxa"/>
            <w:noWrap/>
          </w:tcPr>
          <w:p w:rsidR="00B075D8" w:rsidRDefault="00B075D8" w:rsidP="00B075D8">
            <w:pPr>
              <w:spacing w:after="0" w:line="240" w:lineRule="auto"/>
              <w:jc w:val="both"/>
              <w:rPr>
                <w:color w:val="000000"/>
                <w:sz w:val="24"/>
                <w:szCs w:val="24"/>
                <w:lang w:eastAsia="en-GB"/>
              </w:rPr>
            </w:pPr>
            <w:r w:rsidRPr="00B075D8">
              <w:rPr>
                <w:color w:val="000000"/>
                <w:sz w:val="24"/>
                <w:szCs w:val="24"/>
                <w:lang w:eastAsia="en-GB"/>
              </w:rPr>
              <w:t xml:space="preserve">To process payments accurately. To comply with the Health and Social Care Act and taxation law. </w:t>
            </w:r>
          </w:p>
          <w:p w:rsidR="00B075D8" w:rsidRPr="00B075D8" w:rsidRDefault="00B075D8" w:rsidP="00A86FF4">
            <w:pPr>
              <w:spacing w:after="0" w:line="240" w:lineRule="auto"/>
              <w:rPr>
                <w:color w:val="000000"/>
                <w:sz w:val="24"/>
                <w:szCs w:val="24"/>
                <w:lang w:eastAsia="en-GB"/>
              </w:rPr>
            </w:pP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4) </w:t>
            </w:r>
            <w:r w:rsidRPr="00B075D8">
              <w:rPr>
                <w:b/>
                <w:color w:val="000000"/>
                <w:sz w:val="24"/>
                <w:szCs w:val="24"/>
                <w:lang w:eastAsia="en-GB"/>
              </w:rPr>
              <w:t>Lawful basis</w:t>
            </w:r>
            <w:r w:rsidRPr="00B075D8">
              <w:rPr>
                <w:color w:val="000000"/>
                <w:sz w:val="24"/>
                <w:szCs w:val="24"/>
                <w:lang w:eastAsia="en-GB"/>
              </w:rPr>
              <w:t xml:space="preserve"> for processing</w:t>
            </w:r>
          </w:p>
        </w:tc>
        <w:tc>
          <w:tcPr>
            <w:tcW w:w="6989" w:type="dxa"/>
            <w:noWrap/>
          </w:tcPr>
          <w:p w:rsidR="00B075D8" w:rsidRPr="00B075D8" w:rsidRDefault="00B075D8" w:rsidP="00A86FF4">
            <w:pPr>
              <w:rPr>
                <w:color w:val="000000"/>
                <w:sz w:val="24"/>
                <w:szCs w:val="24"/>
                <w:lang w:eastAsia="en-GB"/>
              </w:rPr>
            </w:pPr>
            <w:r w:rsidRPr="00B075D8">
              <w:rPr>
                <w:color w:val="000000"/>
                <w:sz w:val="24"/>
                <w:szCs w:val="24"/>
                <w:lang w:eastAsia="en-GB"/>
              </w:rPr>
              <w:t xml:space="preserve">The legal basis will be </w:t>
            </w:r>
          </w:p>
          <w:p w:rsidR="00B075D8" w:rsidRPr="00B075D8" w:rsidRDefault="00B075D8" w:rsidP="00A86FF4">
            <w:pPr>
              <w:ind w:left="720"/>
              <w:rPr>
                <w:sz w:val="24"/>
                <w:szCs w:val="24"/>
              </w:rPr>
            </w:pPr>
            <w:r w:rsidRPr="00B075D8">
              <w:rPr>
                <w:i/>
                <w:color w:val="000000"/>
                <w:sz w:val="24"/>
                <w:szCs w:val="24"/>
                <w:lang w:eastAsia="en-GB"/>
              </w:rPr>
              <w:t>Article 6(1</w:t>
            </w:r>
            <w:proofErr w:type="gramStart"/>
            <w:r w:rsidRPr="00B075D8">
              <w:rPr>
                <w:i/>
                <w:color w:val="000000"/>
                <w:sz w:val="24"/>
                <w:szCs w:val="24"/>
                <w:lang w:eastAsia="en-GB"/>
              </w:rPr>
              <w:t>)(</w:t>
            </w:r>
            <w:proofErr w:type="gramEnd"/>
            <w:r w:rsidRPr="00B075D8">
              <w:rPr>
                <w:i/>
                <w:color w:val="000000"/>
                <w:sz w:val="24"/>
                <w:szCs w:val="24"/>
                <w:lang w:eastAsia="en-GB"/>
              </w:rPr>
              <w:t>c) “</w:t>
            </w:r>
            <w:r w:rsidRPr="00B075D8">
              <w:rPr>
                <w:i/>
                <w:sz w:val="24"/>
                <w:szCs w:val="24"/>
              </w:rPr>
              <w:t>processing is necessary for compliance with a legal obligation to which the controller is subject.”</w:t>
            </w:r>
            <w:r w:rsidRPr="00B075D8">
              <w:rPr>
                <w:sz w:val="24"/>
                <w:szCs w:val="24"/>
              </w:rPr>
              <w:t xml:space="preserve"> </w:t>
            </w:r>
          </w:p>
          <w:p w:rsidR="00B075D8" w:rsidRPr="00B075D8" w:rsidRDefault="00B075D8" w:rsidP="00A86FF4">
            <w:pPr>
              <w:rPr>
                <w:color w:val="000000"/>
                <w:sz w:val="24"/>
                <w:szCs w:val="24"/>
                <w:lang w:eastAsia="en-GB"/>
              </w:rPr>
            </w:pPr>
            <w:r w:rsidRPr="00B075D8">
              <w:rPr>
                <w:color w:val="000000"/>
                <w:sz w:val="24"/>
                <w:szCs w:val="24"/>
                <w:lang w:eastAsia="en-GB"/>
              </w:rPr>
              <w:t xml:space="preserve">And </w:t>
            </w:r>
          </w:p>
          <w:p w:rsidR="00B075D8" w:rsidRDefault="00B075D8" w:rsidP="00B075D8">
            <w:pPr>
              <w:spacing w:after="0" w:line="240" w:lineRule="auto"/>
              <w:ind w:left="720"/>
              <w:jc w:val="both"/>
              <w:rPr>
                <w:i/>
                <w:color w:val="000000"/>
                <w:sz w:val="24"/>
                <w:szCs w:val="24"/>
                <w:lang w:eastAsia="en-GB"/>
              </w:rPr>
            </w:pPr>
            <w:r w:rsidRPr="00B075D8">
              <w:rPr>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rsidR="00B075D8" w:rsidRPr="00B075D8" w:rsidRDefault="00B075D8" w:rsidP="00B075D8">
            <w:pPr>
              <w:spacing w:after="0" w:line="240" w:lineRule="auto"/>
              <w:ind w:left="720"/>
              <w:jc w:val="both"/>
              <w:rPr>
                <w:i/>
                <w:color w:val="000000"/>
                <w:sz w:val="24"/>
                <w:szCs w:val="24"/>
                <w:lang w:eastAsia="en-GB"/>
              </w:rPr>
            </w:pP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5) </w:t>
            </w:r>
            <w:r w:rsidRPr="00B075D8">
              <w:rPr>
                <w:b/>
                <w:color w:val="000000"/>
                <w:sz w:val="24"/>
                <w:szCs w:val="24"/>
                <w:lang w:eastAsia="en-GB"/>
              </w:rPr>
              <w:t xml:space="preserve">Recipient or categories of recipients </w:t>
            </w:r>
            <w:r w:rsidRPr="00B075D8">
              <w:rPr>
                <w:color w:val="000000"/>
                <w:sz w:val="24"/>
                <w:szCs w:val="24"/>
                <w:lang w:eastAsia="en-GB"/>
              </w:rPr>
              <w:t>of the shared data</w:t>
            </w:r>
          </w:p>
        </w:tc>
        <w:tc>
          <w:tcPr>
            <w:tcW w:w="6989" w:type="dxa"/>
            <w:noWrap/>
          </w:tcPr>
          <w:p w:rsidR="00B075D8" w:rsidRDefault="00B075D8" w:rsidP="00B075D8">
            <w:pPr>
              <w:spacing w:after="0" w:line="240" w:lineRule="auto"/>
              <w:jc w:val="both"/>
              <w:rPr>
                <w:color w:val="000000"/>
                <w:sz w:val="24"/>
                <w:szCs w:val="24"/>
                <w:lang w:eastAsia="en-GB"/>
              </w:rPr>
            </w:pPr>
            <w:r w:rsidRPr="00B075D8">
              <w:rPr>
                <w:color w:val="000000"/>
                <w:sz w:val="24"/>
                <w:szCs w:val="24"/>
                <w:lang w:eastAsia="en-GB"/>
              </w:rPr>
              <w:t>The data will be shared with BSO and anonymised data with the Equality Commission. Financial data will also be shared with HMRC and the Practice Accountant.</w:t>
            </w:r>
          </w:p>
          <w:p w:rsidR="00B075D8" w:rsidRPr="00B075D8" w:rsidRDefault="00B075D8" w:rsidP="00B075D8">
            <w:pPr>
              <w:spacing w:after="0" w:line="240" w:lineRule="auto"/>
              <w:jc w:val="both"/>
              <w:rPr>
                <w:color w:val="000000"/>
                <w:sz w:val="24"/>
                <w:szCs w:val="24"/>
                <w:lang w:eastAsia="en-GB"/>
              </w:rPr>
            </w:pP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6) </w:t>
            </w:r>
            <w:r w:rsidRPr="00B075D8">
              <w:rPr>
                <w:b/>
                <w:color w:val="000000"/>
                <w:sz w:val="24"/>
                <w:szCs w:val="24"/>
                <w:lang w:eastAsia="en-GB"/>
              </w:rPr>
              <w:t>Rights to object</w:t>
            </w:r>
            <w:r w:rsidRPr="00B075D8">
              <w:rPr>
                <w:color w:val="000000"/>
                <w:sz w:val="24"/>
                <w:szCs w:val="24"/>
                <w:lang w:eastAsia="en-GB"/>
              </w:rPr>
              <w:t xml:space="preserve"> </w:t>
            </w:r>
          </w:p>
        </w:tc>
        <w:tc>
          <w:tcPr>
            <w:tcW w:w="6989" w:type="dxa"/>
            <w:noWrap/>
          </w:tcPr>
          <w:p w:rsidR="00B075D8" w:rsidRDefault="00B075D8" w:rsidP="00B075D8">
            <w:pPr>
              <w:spacing w:after="0" w:line="240" w:lineRule="auto"/>
              <w:jc w:val="both"/>
              <w:rPr>
                <w:color w:val="000000"/>
                <w:sz w:val="24"/>
                <w:szCs w:val="24"/>
                <w:lang w:eastAsia="en-GB"/>
              </w:rPr>
            </w:pPr>
            <w:r w:rsidRPr="00B075D8">
              <w:rPr>
                <w:color w:val="000000"/>
                <w:sz w:val="24"/>
                <w:szCs w:val="24"/>
                <w:lang w:eastAsia="en-GB"/>
              </w:rPr>
              <w:t>You have the right to object to some or all of the information being shared with BSO. Contact the Data Controller or the practice. There is no right to have UK taxation related data deleted except after certain statutory periods.</w:t>
            </w:r>
          </w:p>
          <w:p w:rsidR="00B075D8" w:rsidRPr="00B075D8" w:rsidRDefault="00B075D8" w:rsidP="00B075D8">
            <w:pPr>
              <w:spacing w:after="0" w:line="240" w:lineRule="auto"/>
              <w:jc w:val="both"/>
              <w:rPr>
                <w:color w:val="000000"/>
                <w:sz w:val="24"/>
                <w:szCs w:val="24"/>
                <w:lang w:eastAsia="en-GB"/>
              </w:rPr>
            </w:pP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7) </w:t>
            </w:r>
            <w:r w:rsidRPr="00B075D8">
              <w:rPr>
                <w:b/>
                <w:color w:val="000000"/>
                <w:sz w:val="24"/>
                <w:szCs w:val="24"/>
                <w:lang w:eastAsia="en-GB"/>
              </w:rPr>
              <w:t>Right to access and correct</w:t>
            </w:r>
          </w:p>
        </w:tc>
        <w:tc>
          <w:tcPr>
            <w:tcW w:w="6989" w:type="dxa"/>
            <w:noWrap/>
          </w:tcPr>
          <w:p w:rsidR="00B075D8" w:rsidRPr="00B075D8" w:rsidRDefault="00B075D8" w:rsidP="00B075D8">
            <w:pPr>
              <w:spacing w:after="0" w:line="240" w:lineRule="auto"/>
              <w:jc w:val="both"/>
              <w:rPr>
                <w:color w:val="000000"/>
                <w:sz w:val="24"/>
                <w:szCs w:val="24"/>
                <w:lang w:eastAsia="en-GB"/>
              </w:rPr>
            </w:pPr>
            <w:r w:rsidRPr="00B075D8">
              <w:rPr>
                <w:color w:val="000000"/>
                <w:sz w:val="24"/>
                <w:szCs w:val="24"/>
                <w:lang w:eastAsia="en-GB"/>
              </w:rPr>
              <w:t>You have the right to access the data that is being shared and have any inaccuracies corrected. There is no right to have records deleted except when ordered by a court of Law.</w:t>
            </w:r>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lastRenderedPageBreak/>
              <w:t>8</w:t>
            </w:r>
            <w:r w:rsidRPr="00B075D8">
              <w:rPr>
                <w:b/>
                <w:color w:val="000000"/>
                <w:sz w:val="24"/>
                <w:szCs w:val="24"/>
                <w:lang w:eastAsia="en-GB"/>
              </w:rPr>
              <w:t>) Retention period</w:t>
            </w:r>
            <w:r w:rsidRPr="00B075D8">
              <w:rPr>
                <w:color w:val="000000"/>
                <w:sz w:val="24"/>
                <w:szCs w:val="24"/>
                <w:lang w:eastAsia="en-GB"/>
              </w:rPr>
              <w:t xml:space="preserve"> </w:t>
            </w:r>
          </w:p>
        </w:tc>
        <w:tc>
          <w:tcPr>
            <w:tcW w:w="6989" w:type="dxa"/>
            <w:noWrap/>
          </w:tcPr>
          <w:p w:rsidR="00B075D8" w:rsidRDefault="00B075D8" w:rsidP="00B075D8">
            <w:pPr>
              <w:spacing w:after="0" w:line="240" w:lineRule="auto"/>
              <w:jc w:val="both"/>
              <w:rPr>
                <w:color w:val="000000"/>
                <w:sz w:val="24"/>
                <w:szCs w:val="24"/>
                <w:lang w:eastAsia="en-GB"/>
              </w:rPr>
            </w:pPr>
            <w:r w:rsidRPr="00B075D8">
              <w:rPr>
                <w:color w:val="000000"/>
                <w:sz w:val="24"/>
                <w:szCs w:val="24"/>
                <w:lang w:eastAsia="en-GB"/>
              </w:rPr>
              <w:t>The data will be retained for active use during the processing and thereafter according to NHS Policies, taxation and employment law.</w:t>
            </w:r>
          </w:p>
          <w:p w:rsidR="00B075D8" w:rsidRPr="00B075D8" w:rsidRDefault="00B075D8" w:rsidP="00B075D8">
            <w:pPr>
              <w:spacing w:after="0" w:line="240" w:lineRule="auto"/>
              <w:jc w:val="both"/>
              <w:rPr>
                <w:color w:val="000000"/>
                <w:sz w:val="24"/>
                <w:szCs w:val="24"/>
                <w:lang w:eastAsia="en-GB"/>
              </w:rPr>
            </w:pPr>
            <w:bookmarkStart w:id="0" w:name="_GoBack"/>
            <w:bookmarkEnd w:id="0"/>
          </w:p>
        </w:tc>
      </w:tr>
      <w:tr w:rsidR="00B075D8" w:rsidRPr="00B075D8" w:rsidTr="00B075D8">
        <w:trPr>
          <w:trHeight w:val="300"/>
        </w:trPr>
        <w:tc>
          <w:tcPr>
            <w:tcW w:w="3501"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 xml:space="preserve">9) </w:t>
            </w:r>
            <w:r w:rsidRPr="00B075D8">
              <w:rPr>
                <w:b/>
                <w:color w:val="000000"/>
                <w:sz w:val="24"/>
                <w:szCs w:val="24"/>
                <w:lang w:eastAsia="en-GB"/>
              </w:rPr>
              <w:t>Right to Complain</w:t>
            </w:r>
            <w:r w:rsidRPr="00B075D8">
              <w:rPr>
                <w:color w:val="000000"/>
                <w:sz w:val="24"/>
                <w:szCs w:val="24"/>
                <w:lang w:eastAsia="en-GB"/>
              </w:rPr>
              <w:t xml:space="preserve">. </w:t>
            </w:r>
          </w:p>
        </w:tc>
        <w:tc>
          <w:tcPr>
            <w:tcW w:w="6989" w:type="dxa"/>
            <w:noWrap/>
          </w:tcPr>
          <w:p w:rsidR="00B075D8" w:rsidRPr="00B075D8" w:rsidRDefault="00B075D8" w:rsidP="00A86FF4">
            <w:pPr>
              <w:spacing w:after="0" w:line="240" w:lineRule="auto"/>
              <w:rPr>
                <w:color w:val="000000"/>
                <w:sz w:val="24"/>
                <w:szCs w:val="24"/>
                <w:lang w:eastAsia="en-GB"/>
              </w:rPr>
            </w:pPr>
            <w:r w:rsidRPr="00B075D8">
              <w:rPr>
                <w:color w:val="000000"/>
                <w:sz w:val="24"/>
                <w:szCs w:val="24"/>
                <w:lang w:eastAsia="en-GB"/>
              </w:rPr>
              <w:t>You have the right to complain to the Information Commissioner’s Office, you can use this link</w:t>
            </w:r>
            <w:r w:rsidRPr="00B075D8">
              <w:rPr>
                <w:sz w:val="24"/>
                <w:szCs w:val="24"/>
              </w:rPr>
              <w:t xml:space="preserve"> </w:t>
            </w:r>
            <w:hyperlink r:id="rId6" w:history="1">
              <w:r w:rsidRPr="00B075D8">
                <w:rPr>
                  <w:rStyle w:val="Hyperlink"/>
                  <w:rFonts w:asciiTheme="minorHAnsi" w:hAnsiTheme="minorHAnsi"/>
                  <w:sz w:val="24"/>
                  <w:szCs w:val="24"/>
                  <w:lang w:eastAsia="en-GB"/>
                </w:rPr>
                <w:t>https://ico.org.uk/global/contact-us/</w:t>
              </w:r>
            </w:hyperlink>
            <w:r w:rsidRPr="00B075D8">
              <w:rPr>
                <w:color w:val="000000"/>
                <w:sz w:val="24"/>
                <w:szCs w:val="24"/>
                <w:lang w:eastAsia="en-GB"/>
              </w:rPr>
              <w:t xml:space="preserve">  </w:t>
            </w:r>
          </w:p>
          <w:p w:rsidR="00B075D8" w:rsidRPr="00B075D8" w:rsidRDefault="00B075D8" w:rsidP="00A86FF4">
            <w:pPr>
              <w:spacing w:after="0" w:line="240" w:lineRule="auto"/>
              <w:rPr>
                <w:color w:val="000000"/>
                <w:sz w:val="24"/>
                <w:szCs w:val="24"/>
                <w:lang w:eastAsia="en-GB"/>
              </w:rPr>
            </w:pPr>
          </w:p>
          <w:p w:rsidR="00B075D8" w:rsidRPr="00B075D8" w:rsidRDefault="00B075D8" w:rsidP="00A86FF4">
            <w:pPr>
              <w:shd w:val="clear" w:color="auto" w:fill="FFFFFF"/>
              <w:spacing w:after="240" w:line="240" w:lineRule="auto"/>
              <w:rPr>
                <w:color w:val="000000"/>
                <w:sz w:val="24"/>
                <w:szCs w:val="24"/>
                <w:lang w:eastAsia="en-GB"/>
              </w:rPr>
            </w:pPr>
            <w:r w:rsidRPr="00B075D8">
              <w:rPr>
                <w:color w:val="000000"/>
                <w:sz w:val="24"/>
                <w:szCs w:val="24"/>
                <w:lang w:eastAsia="en-GB"/>
              </w:rPr>
              <w:t xml:space="preserve">or calling their helpline Tel: 0303 123 1113 (local rate) or 01625 545 745 (national rate) </w:t>
            </w:r>
          </w:p>
          <w:p w:rsidR="00B075D8" w:rsidRPr="00B075D8" w:rsidRDefault="00B075D8" w:rsidP="00A86FF4">
            <w:pPr>
              <w:spacing w:after="0" w:line="240" w:lineRule="auto"/>
              <w:rPr>
                <w:color w:val="000000"/>
                <w:sz w:val="24"/>
                <w:szCs w:val="24"/>
                <w:lang w:eastAsia="en-GB"/>
              </w:rPr>
            </w:pPr>
            <w:r w:rsidRPr="00B075D8">
              <w:rPr>
                <w:color w:val="000000"/>
                <w:sz w:val="24"/>
                <w:szCs w:val="24"/>
                <w:shd w:val="clear" w:color="auto" w:fill="FFFFFF"/>
              </w:rPr>
              <w:t>The Information Commissioner’s Office – Northern Ireland</w:t>
            </w:r>
            <w:r w:rsidRPr="00B075D8">
              <w:rPr>
                <w:color w:val="000000"/>
                <w:sz w:val="24"/>
                <w:szCs w:val="24"/>
              </w:rPr>
              <w:br/>
            </w:r>
            <w:r w:rsidRPr="00B075D8">
              <w:rPr>
                <w:color w:val="000000"/>
                <w:sz w:val="24"/>
                <w:szCs w:val="24"/>
                <w:shd w:val="clear" w:color="auto" w:fill="FFFFFF"/>
              </w:rPr>
              <w:t>3rd Floor</w:t>
            </w:r>
            <w:r w:rsidRPr="00B075D8">
              <w:rPr>
                <w:color w:val="000000"/>
                <w:sz w:val="24"/>
                <w:szCs w:val="24"/>
              </w:rPr>
              <w:br/>
            </w:r>
            <w:r w:rsidRPr="00B075D8">
              <w:rPr>
                <w:color w:val="000000"/>
                <w:sz w:val="24"/>
                <w:szCs w:val="24"/>
                <w:shd w:val="clear" w:color="auto" w:fill="FFFFFF"/>
              </w:rPr>
              <w:t xml:space="preserve">14 </w:t>
            </w:r>
            <w:proofErr w:type="spellStart"/>
            <w:r w:rsidRPr="00B075D8">
              <w:rPr>
                <w:color w:val="000000"/>
                <w:sz w:val="24"/>
                <w:szCs w:val="24"/>
                <w:shd w:val="clear" w:color="auto" w:fill="FFFFFF"/>
              </w:rPr>
              <w:t>Cromac</w:t>
            </w:r>
            <w:proofErr w:type="spellEnd"/>
            <w:r w:rsidRPr="00B075D8">
              <w:rPr>
                <w:color w:val="000000"/>
                <w:sz w:val="24"/>
                <w:szCs w:val="24"/>
                <w:shd w:val="clear" w:color="auto" w:fill="FFFFFF"/>
              </w:rPr>
              <w:t xml:space="preserve"> Place, </w:t>
            </w:r>
            <w:r w:rsidRPr="00B075D8">
              <w:rPr>
                <w:color w:val="000000"/>
                <w:sz w:val="24"/>
                <w:szCs w:val="24"/>
              </w:rPr>
              <w:br/>
            </w:r>
            <w:r w:rsidRPr="00B075D8">
              <w:rPr>
                <w:color w:val="000000"/>
                <w:sz w:val="24"/>
                <w:szCs w:val="24"/>
                <w:shd w:val="clear" w:color="auto" w:fill="FFFFFF"/>
              </w:rPr>
              <w:t>Belfast</w:t>
            </w:r>
            <w:r w:rsidRPr="00B075D8">
              <w:rPr>
                <w:color w:val="000000"/>
                <w:sz w:val="24"/>
                <w:szCs w:val="24"/>
              </w:rPr>
              <w:br/>
            </w:r>
            <w:r w:rsidRPr="00B075D8">
              <w:rPr>
                <w:color w:val="000000"/>
                <w:sz w:val="24"/>
                <w:szCs w:val="24"/>
                <w:shd w:val="clear" w:color="auto" w:fill="FFFFFF"/>
              </w:rPr>
              <w:t>BT7 2JB</w:t>
            </w:r>
            <w:r w:rsidRPr="00B075D8">
              <w:rPr>
                <w:color w:val="000000"/>
                <w:sz w:val="24"/>
                <w:szCs w:val="24"/>
              </w:rPr>
              <w:br/>
            </w:r>
            <w:r w:rsidRPr="00B075D8">
              <w:rPr>
                <w:color w:val="000000"/>
                <w:sz w:val="24"/>
                <w:szCs w:val="24"/>
              </w:rPr>
              <w:br/>
            </w:r>
            <w:r w:rsidRPr="00B075D8">
              <w:rPr>
                <w:color w:val="000000"/>
                <w:sz w:val="24"/>
                <w:szCs w:val="24"/>
                <w:shd w:val="clear" w:color="auto" w:fill="FFFFFF"/>
              </w:rPr>
              <w:t>Telephone: 028 9027 8757 / 0303 123 1114</w:t>
            </w:r>
            <w:r w:rsidRPr="00B075D8">
              <w:rPr>
                <w:color w:val="000000"/>
                <w:sz w:val="24"/>
                <w:szCs w:val="24"/>
              </w:rPr>
              <w:br/>
            </w:r>
            <w:r w:rsidRPr="00B075D8">
              <w:rPr>
                <w:color w:val="000000"/>
                <w:sz w:val="24"/>
                <w:szCs w:val="24"/>
                <w:shd w:val="clear" w:color="auto" w:fill="FFFFFF"/>
              </w:rPr>
              <w:t>Email: </w:t>
            </w:r>
            <w:hyperlink r:id="rId7" w:history="1">
              <w:r w:rsidRPr="00B075D8">
                <w:rPr>
                  <w:rStyle w:val="Hyperlink"/>
                  <w:rFonts w:asciiTheme="minorHAnsi" w:hAnsiTheme="minorHAnsi"/>
                  <w:color w:val="0059A9"/>
                  <w:sz w:val="24"/>
                  <w:szCs w:val="24"/>
                  <w:u w:val="none"/>
                  <w:shd w:val="clear" w:color="auto" w:fill="FFFFFF"/>
                </w:rPr>
                <w:t>ni@ico.org.uk</w:t>
              </w:r>
            </w:hyperlink>
          </w:p>
        </w:tc>
      </w:tr>
    </w:tbl>
    <w:p w:rsidR="00B075D8" w:rsidRPr="00B075D8" w:rsidRDefault="00B075D8" w:rsidP="00B075D8">
      <w:pPr>
        <w:rPr>
          <w:sz w:val="24"/>
          <w:szCs w:val="24"/>
        </w:rPr>
      </w:pPr>
    </w:p>
    <w:p w:rsidR="00B075D8" w:rsidRPr="00B075D8" w:rsidRDefault="00B075D8" w:rsidP="00B075D8">
      <w:pPr>
        <w:rPr>
          <w:sz w:val="24"/>
          <w:szCs w:val="24"/>
        </w:rPr>
      </w:pPr>
      <w:r w:rsidRPr="00B075D8">
        <w:rPr>
          <w:sz w:val="24"/>
          <w:szCs w:val="24"/>
        </w:rPr>
        <w:br w:type="page"/>
      </w:r>
    </w:p>
    <w:p w:rsidR="0009727F" w:rsidRDefault="0009727F"/>
    <w:sectPr w:rsidR="0009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D8"/>
    <w:rsid w:val="0009727F"/>
    <w:rsid w:val="00B0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D8"/>
    <w:pPr>
      <w:ind w:left="720"/>
      <w:contextualSpacing/>
    </w:pPr>
  </w:style>
  <w:style w:type="character" w:styleId="Hyperlink">
    <w:name w:val="Hyperlink"/>
    <w:uiPriority w:val="99"/>
    <w:unhideWhenUsed/>
    <w:rsid w:val="00B075D8"/>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5D8"/>
    <w:pPr>
      <w:ind w:left="720"/>
      <w:contextualSpacing/>
    </w:pPr>
  </w:style>
  <w:style w:type="character" w:styleId="Hyperlink">
    <w:name w:val="Hyperlink"/>
    <w:uiPriority w:val="99"/>
    <w:unhideWhenUsed/>
    <w:rsid w:val="00B075D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7DF7-B871-4A30-9EDA-5C551361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cp:revision>
  <dcterms:created xsi:type="dcterms:W3CDTF">2018-05-25T11:33:00Z</dcterms:created>
  <dcterms:modified xsi:type="dcterms:W3CDTF">2018-05-25T11:36:00Z</dcterms:modified>
</cp:coreProperties>
</file>